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71" w:rsidRPr="008A2953" w:rsidRDefault="00A43871" w:rsidP="00A43871">
      <w:pPr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>Na temelju članka 65. Statuta Osnovne škole Slavka Kolara, Hercegovac Školski odbor škole dana 20. 12. 2016.g. donosi</w:t>
      </w:r>
    </w:p>
    <w:p w:rsidR="00A43871" w:rsidRPr="008A2953" w:rsidRDefault="00A43871" w:rsidP="00A43871">
      <w:pPr>
        <w:rPr>
          <w:sz w:val="18"/>
          <w:szCs w:val="18"/>
        </w:rPr>
      </w:pPr>
    </w:p>
    <w:p w:rsidR="00A43871" w:rsidRPr="008A2953" w:rsidRDefault="00A43871" w:rsidP="00A43871">
      <w:pPr>
        <w:ind w:left="180" w:hanging="180"/>
        <w:jc w:val="center"/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 xml:space="preserve">          FINANCIJSKI    PLAN   OSNOVNE ŠKOLE SLAVKA KOLARA HERCEGOVAC ZA 2017.. G.</w:t>
      </w:r>
    </w:p>
    <w:p w:rsidR="00A43871" w:rsidRPr="008A2953" w:rsidRDefault="00A43871" w:rsidP="00A43871">
      <w:pPr>
        <w:ind w:left="180" w:hanging="180"/>
        <w:jc w:val="center"/>
        <w:rPr>
          <w:b/>
          <w:sz w:val="18"/>
          <w:szCs w:val="18"/>
        </w:rPr>
      </w:pPr>
      <w:r w:rsidRPr="008A2953">
        <w:rPr>
          <w:b/>
          <w:sz w:val="18"/>
          <w:szCs w:val="18"/>
        </w:rPr>
        <w:t>I PROJEKCIJA ZA 2018., 2019</w:t>
      </w:r>
      <w:r>
        <w:rPr>
          <w:b/>
          <w:sz w:val="18"/>
          <w:szCs w:val="18"/>
        </w:rPr>
        <w:t>.G.</w:t>
      </w: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A43871" w:rsidRPr="00550281" w:rsidTr="001F74AD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A43871" w:rsidRPr="00550281" w:rsidRDefault="00A43871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A4387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4387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A43871" w:rsidRPr="00550281" w:rsidRDefault="00A43871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135.500,00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43871" w:rsidRPr="009638BB" w:rsidRDefault="00A43871" w:rsidP="001F74A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4.256.779,00</w:t>
            </w:r>
          </w:p>
        </w:tc>
        <w:tc>
          <w:tcPr>
            <w:tcW w:w="1080" w:type="dxa"/>
            <w:shd w:val="clear" w:color="auto" w:fill="auto"/>
          </w:tcPr>
          <w:p w:rsidR="00A43871" w:rsidRPr="00D02153" w:rsidRDefault="00A43871" w:rsidP="001F74AD">
            <w:pPr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2.220.779</w:t>
            </w:r>
          </w:p>
        </w:tc>
        <w:tc>
          <w:tcPr>
            <w:tcW w:w="1080" w:type="dxa"/>
            <w:shd w:val="clear" w:color="auto" w:fill="auto"/>
          </w:tcPr>
          <w:p w:rsidR="00A43871" w:rsidRPr="00D02153" w:rsidRDefault="00A43871" w:rsidP="001F74AD">
            <w:pPr>
              <w:rPr>
                <w:rFonts w:ascii="Tahoma" w:hAnsi="Tahoma" w:cs="Tahoma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135.500,00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4.253.779,00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4.217.779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4.217.779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3.673.700,00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3.673.700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3.673.700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63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POMOĆ PRORAČUNSKIM KORISNICIMA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3.673.700,00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D3527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A4387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A4387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AF647B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647B">
              <w:rPr>
                <w:rFonts w:ascii="Tahoma" w:hAnsi="Tahoma" w:cs="Tahoma"/>
                <w:b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271">
              <w:rPr>
                <w:rFonts w:ascii="Tahoma" w:hAnsi="Tahoma" w:cs="Tahoma"/>
                <w:b/>
                <w:sz w:val="16"/>
                <w:szCs w:val="16"/>
              </w:rPr>
              <w:t>1.000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A4387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A4387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Default="00A43871" w:rsidP="001F74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134.500,00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134.500,00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134.500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134.500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134.500,00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134.500,00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157.500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157.500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603093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603093" w:rsidRDefault="00A43871" w:rsidP="001F74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603093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251.079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251.079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9638BB" w:rsidRDefault="00A43871" w:rsidP="001F74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3.000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43871" w:rsidRDefault="00A43871" w:rsidP="00A43871">
      <w:pPr>
        <w:rPr>
          <w:sz w:val="16"/>
          <w:szCs w:val="16"/>
        </w:rPr>
      </w:pPr>
    </w:p>
    <w:p w:rsidR="00A43871" w:rsidRDefault="00A43871" w:rsidP="00A43871">
      <w:pPr>
        <w:rPr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A43871" w:rsidRPr="00550281" w:rsidTr="001F74AD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A43871" w:rsidRPr="00550281" w:rsidRDefault="00A43871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438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A43871" w:rsidRPr="00550281" w:rsidRDefault="00A43871" w:rsidP="001F74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135.500,00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7.500,00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4.256.779,00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4.220.779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287.079,00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135.500,00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4.243.779,00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4.207.779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4.207.779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3.529.000,00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32.900,00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3.561.900,00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3.529.000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3.529.000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A43871" w:rsidRPr="00550281" w:rsidRDefault="00A43871" w:rsidP="001F74AD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2.901.000,00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1.250,00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156.250,00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4.650,00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504.650,00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121.500,00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251.679,00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23.200,00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129.500,00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140.000,00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4.500,00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673.379,00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670.279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670.279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1.700,00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12.400,00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140.600,00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153.979,00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120.000,00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50.000,00</w:t>
            </w:r>
          </w:p>
        </w:tc>
        <w:tc>
          <w:tcPr>
            <w:tcW w:w="1260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464D64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341.479,00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80.000,00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73.600,00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168.100,00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B0645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A43871" w:rsidRPr="005B0645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11.500,00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4.000,00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23.200,00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D3527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1.800,00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6.000,00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7.800,00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7.800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7.800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6.000,00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7.800,00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700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13.000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13.000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A43871" w:rsidRPr="009638BB" w:rsidRDefault="00A43871" w:rsidP="001F74AD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13.000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13.000</w:t>
            </w: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3871" w:rsidRPr="00550281" w:rsidTr="001F74AD">
        <w:trPr>
          <w:trHeight w:val="487"/>
        </w:trPr>
        <w:tc>
          <w:tcPr>
            <w:tcW w:w="540" w:type="dxa"/>
            <w:shd w:val="clear" w:color="auto" w:fill="auto"/>
          </w:tcPr>
          <w:p w:rsidR="00A43871" w:rsidRPr="00550281" w:rsidRDefault="00A43871" w:rsidP="001F74AD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A43871" w:rsidRPr="00550281" w:rsidRDefault="00A43871" w:rsidP="001F74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43871" w:rsidRDefault="00A43871" w:rsidP="00A43871">
      <w:pPr>
        <w:rPr>
          <w:b/>
          <w:sz w:val="20"/>
          <w:szCs w:val="20"/>
        </w:rPr>
      </w:pPr>
    </w:p>
    <w:p w:rsidR="00A43871" w:rsidRDefault="00A43871" w:rsidP="00A43871">
      <w:pPr>
        <w:rPr>
          <w:b/>
          <w:sz w:val="20"/>
          <w:szCs w:val="20"/>
        </w:rPr>
      </w:pPr>
    </w:p>
    <w:p w:rsidR="00A43871" w:rsidRDefault="00A43871" w:rsidP="00A43871">
      <w:pPr>
        <w:rPr>
          <w:b/>
          <w:sz w:val="20"/>
          <w:szCs w:val="20"/>
        </w:rPr>
      </w:pPr>
    </w:p>
    <w:p w:rsidR="00A43871" w:rsidRPr="005F51A2" w:rsidRDefault="00A43871" w:rsidP="00A43871">
      <w:r>
        <w:t>KLASA: 400-02/16-01/</w:t>
      </w:r>
      <w:r w:rsidR="000D0A90">
        <w:t>06</w:t>
      </w:r>
      <w:bookmarkStart w:id="0" w:name="_GoBack"/>
      <w:bookmarkEnd w:id="0"/>
    </w:p>
    <w:p w:rsidR="00A43871" w:rsidRPr="005F51A2" w:rsidRDefault="00A43871" w:rsidP="00A43871">
      <w:r>
        <w:t>URBROJ: 2123/03-25/16-02</w:t>
      </w:r>
    </w:p>
    <w:p w:rsidR="00A43871" w:rsidRDefault="00A43871" w:rsidP="00A43871">
      <w:pPr>
        <w:rPr>
          <w:sz w:val="16"/>
          <w:szCs w:val="16"/>
        </w:rPr>
      </w:pPr>
    </w:p>
    <w:p w:rsidR="00A43871" w:rsidRDefault="00A43871" w:rsidP="00A43871">
      <w:r>
        <w:t>U Hercegovcu, 20. prosinca   2016.</w:t>
      </w:r>
    </w:p>
    <w:p w:rsidR="00A43871" w:rsidRDefault="00A43871" w:rsidP="00A43871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A43871" w:rsidRDefault="00A43871" w:rsidP="00A43871"/>
    <w:p w:rsidR="00A43871" w:rsidRPr="00716C4B" w:rsidRDefault="00A43871" w:rsidP="00A43871">
      <w:r>
        <w:t>Katica Čegec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Romana Bukač-Šegavac</w:t>
      </w:r>
    </w:p>
    <w:p w:rsidR="004F13CB" w:rsidRDefault="004F13CB"/>
    <w:sectPr w:rsidR="004F13CB" w:rsidSect="00A43871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3"/>
    <w:rsid w:val="000D0A90"/>
    <w:rsid w:val="00225C03"/>
    <w:rsid w:val="004F13CB"/>
    <w:rsid w:val="00A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A8007-195F-4E00-A095-27646B97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2019-03-19T11:55:00Z</dcterms:created>
  <dcterms:modified xsi:type="dcterms:W3CDTF">2019-03-25T09:55:00Z</dcterms:modified>
</cp:coreProperties>
</file>